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leader="none" w:pos="425"/>
        </w:tabs>
        <w:rPr>
          <w:rFonts w:ascii="Fira Code" w:cs="Fira Code" w:eastAsia="Fira Code" w:hAnsi="Fira Code"/>
        </w:rPr>
      </w:pPr>
      <w:r w:rsidDel="00000000" w:rsidR="00000000" w:rsidRPr="00000000">
        <w:rPr>
          <w:rFonts w:ascii="Fira Code" w:cs="Fira Code" w:eastAsia="Fira Code" w:hAnsi="Fira Code"/>
          <w:rtl w:val="0"/>
        </w:rPr>
        <w:t xml:space="preserve">Příkazní smlouva</w:t>
      </w:r>
    </w:p>
    <w:p w:rsidR="00000000" w:rsidDel="00000000" w:rsidP="00000000" w:rsidRDefault="00000000" w:rsidRPr="00000000" w14:paraId="00000002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o provádění práce programátora softwaru / marketingového analytika </w:t>
        <w:br w:type="textWrapping"/>
        <w:t xml:space="preserve">uzavřená podle ustanovení § 724 a následujících zákona č. 89/2012 Sb. – občanský zákoník v platném znění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1. SMLUVNÍ STRANY</w:t>
      </w:r>
    </w:p>
    <w:tbl>
      <w:tblPr>
        <w:tblStyle w:val="Table1"/>
        <w:tblW w:w="939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5"/>
        <w:gridCol w:w="4675"/>
        <w:tblGridChange w:id="0">
          <w:tblGrid>
            <w:gridCol w:w="4715"/>
            <w:gridCol w:w="4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425"/>
              </w:tabs>
              <w:spacing w:line="240" w:lineRule="auto"/>
              <w:rPr>
                <w:b w:val="1"/>
                <w:color w:val="ffffff"/>
              </w:rPr>
            </w:pPr>
            <w:bookmarkStart w:colFirst="0" w:colLast="0" w:name="_heading=h.1t3h5sf" w:id="0"/>
            <w:bookmarkEnd w:id="0"/>
            <w:r w:rsidDel="00000000" w:rsidR="00000000" w:rsidRPr="00000000">
              <w:rPr>
                <w:b w:val="1"/>
                <w:color w:val="ffffff"/>
                <w:rtl w:val="0"/>
              </w:rPr>
              <w:t xml:space="preserve">Příkazce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425"/>
              </w:tabs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Příkazník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25"/>
              </w:tabs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Triton IT, s. r. o.</w:t>
            </w:r>
          </w:p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25"/>
              </w:tabs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sídlem Harmonická 1384/13 150 00  Praha 5</w:t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25"/>
              </w:tabs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korespondenčně Ringhofferova 115/1, Komerční areál Nový Zličín, 155 21  Praha 5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25"/>
              </w:tabs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zastoupená jednatelem Ing. Petrem Čeňkem</w:t>
            </w:r>
          </w:p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25"/>
              </w:tabs>
              <w:spacing w:line="288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IČO: 03423816, DIČ: CZ03423816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25"/>
              </w:tabs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425"/>
        </w:tabs>
        <w:spacing w:before="360" w:lineRule="auto"/>
        <w:rPr/>
      </w:pPr>
      <w:r w:rsidDel="00000000" w:rsidR="00000000" w:rsidRPr="00000000">
        <w:rPr>
          <w:rtl w:val="0"/>
        </w:rPr>
        <w:t xml:space="preserve">Uzavírají tuto příkazní smlouvu.</w:t>
      </w:r>
    </w:p>
    <w:p w:rsidR="00000000" w:rsidDel="00000000" w:rsidP="00000000" w:rsidRDefault="00000000" w:rsidRPr="00000000" w14:paraId="00000011">
      <w:pPr>
        <w:pStyle w:val="Heading2"/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2. PŘEDMĚT SMLOUVY</w:t>
      </w:r>
    </w:p>
    <w:p w:rsidR="00000000" w:rsidDel="00000000" w:rsidP="00000000" w:rsidRDefault="00000000" w:rsidRPr="00000000" w14:paraId="00000012">
      <w:pPr>
        <w:tabs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2.1</w:t>
      </w:r>
      <w:r w:rsidDel="00000000" w:rsidR="00000000" w:rsidRPr="00000000">
        <w:rPr>
          <w:rtl w:val="0"/>
        </w:rPr>
        <w:tab/>
        <w:t xml:space="preserve">Předmětem smlouvy je výkon práce spojené s programováním a digitálním marketingem, konkrétně:</w:t>
      </w:r>
    </w:p>
    <w:p w:rsidR="00000000" w:rsidDel="00000000" w:rsidP="00000000" w:rsidRDefault="00000000" w:rsidRPr="00000000" w14:paraId="00000013">
      <w:pPr>
        <w:tabs>
          <w:tab w:val="left" w:leader="none" w:pos="425"/>
        </w:tabs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●</w:t>
      </w:r>
      <w:r w:rsidDel="00000000" w:rsidR="00000000" w:rsidRPr="00000000">
        <w:rPr>
          <w:rtl w:val="0"/>
        </w:rPr>
        <w:tab/>
        <w:t xml:space="preserve">programování software</w:t>
      </w:r>
    </w:p>
    <w:p w:rsidR="00000000" w:rsidDel="00000000" w:rsidP="00000000" w:rsidRDefault="00000000" w:rsidRPr="00000000" w14:paraId="00000014">
      <w:pPr>
        <w:tabs>
          <w:tab w:val="left" w:leader="none" w:pos="425"/>
        </w:tabs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●</w:t>
      </w:r>
      <w:r w:rsidDel="00000000" w:rsidR="00000000" w:rsidRPr="00000000">
        <w:rPr>
          <w:rtl w:val="0"/>
        </w:rPr>
        <w:tab/>
        <w:t xml:space="preserve">tvorba internetových a mobilních aplikací</w:t>
      </w:r>
    </w:p>
    <w:p w:rsidR="00000000" w:rsidDel="00000000" w:rsidP="00000000" w:rsidRDefault="00000000" w:rsidRPr="00000000" w14:paraId="00000015">
      <w:pPr>
        <w:tabs>
          <w:tab w:val="left" w:leader="none" w:pos="425"/>
        </w:tabs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●</w:t>
      </w:r>
      <w:r w:rsidDel="00000000" w:rsidR="00000000" w:rsidRPr="00000000">
        <w:rPr>
          <w:rtl w:val="0"/>
        </w:rPr>
        <w:tab/>
        <w:t xml:space="preserve">tvorba webových stránek</w:t>
      </w:r>
    </w:p>
    <w:p w:rsidR="00000000" w:rsidDel="00000000" w:rsidP="00000000" w:rsidRDefault="00000000" w:rsidRPr="00000000" w14:paraId="00000016">
      <w:pPr>
        <w:tabs>
          <w:tab w:val="left" w:leader="none" w:pos="425"/>
        </w:tabs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●</w:t>
      </w:r>
      <w:r w:rsidDel="00000000" w:rsidR="00000000" w:rsidRPr="00000000">
        <w:rPr>
          <w:rtl w:val="0"/>
        </w:rPr>
        <w:tab/>
        <w:t xml:space="preserve">správa / administrace online marketingových kampaní</w:t>
      </w:r>
    </w:p>
    <w:p w:rsidR="00000000" w:rsidDel="00000000" w:rsidP="00000000" w:rsidRDefault="00000000" w:rsidRPr="00000000" w14:paraId="00000017">
      <w:pPr>
        <w:tabs>
          <w:tab w:val="left" w:leader="none" w:pos="425"/>
        </w:tabs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●</w:t>
      </w:r>
      <w:r w:rsidDel="00000000" w:rsidR="00000000" w:rsidRPr="00000000">
        <w:rPr>
          <w:rtl w:val="0"/>
        </w:rPr>
        <w:tab/>
        <w:t xml:space="preserve">správa PPC kampaní a sociálních sítí</w:t>
      </w:r>
    </w:p>
    <w:p w:rsidR="00000000" w:rsidDel="00000000" w:rsidP="00000000" w:rsidRDefault="00000000" w:rsidRPr="00000000" w14:paraId="00000018">
      <w:pPr>
        <w:tabs>
          <w:tab w:val="left" w:leader="none" w:pos="425"/>
        </w:tabs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●</w:t>
      </w:r>
      <w:r w:rsidDel="00000000" w:rsidR="00000000" w:rsidRPr="00000000">
        <w:rPr>
          <w:rtl w:val="0"/>
        </w:rPr>
        <w:tab/>
        <w:t xml:space="preserve">tvorba internetového obsahu (texty, audiovizuální výstupy)</w:t>
      </w:r>
    </w:p>
    <w:p w:rsidR="00000000" w:rsidDel="00000000" w:rsidP="00000000" w:rsidRDefault="00000000" w:rsidRPr="00000000" w14:paraId="00000019">
      <w:pPr>
        <w:tabs>
          <w:tab w:val="left" w:leader="none" w:pos="425"/>
        </w:tabs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●</w:t>
      </w:r>
      <w:r w:rsidDel="00000000" w:rsidR="00000000" w:rsidRPr="00000000">
        <w:rPr>
          <w:rtl w:val="0"/>
        </w:rPr>
        <w:tab/>
        <w:t xml:space="preserve">poradenská činnost spojená s programováním a digitálním marketingem</w:t>
      </w:r>
    </w:p>
    <w:p w:rsidR="00000000" w:rsidDel="00000000" w:rsidP="00000000" w:rsidRDefault="00000000" w:rsidRPr="00000000" w14:paraId="0000001A">
      <w:pPr>
        <w:pStyle w:val="Heading2"/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3. POVINNOSTI PŘÍKAZCE</w:t>
      </w:r>
    </w:p>
    <w:p w:rsidR="00000000" w:rsidDel="00000000" w:rsidP="00000000" w:rsidRDefault="00000000" w:rsidRPr="00000000" w14:paraId="0000001B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3.1</w:t>
      </w:r>
      <w:r w:rsidDel="00000000" w:rsidR="00000000" w:rsidRPr="00000000">
        <w:rPr>
          <w:rtl w:val="0"/>
        </w:rPr>
        <w:tab/>
        <w:t xml:space="preserve">Příkazce je povinen předávat příkazníkovi veškeré podklady k plnění předmětu smlouvy.</w:t>
      </w:r>
    </w:p>
    <w:p w:rsidR="00000000" w:rsidDel="00000000" w:rsidP="00000000" w:rsidRDefault="00000000" w:rsidRPr="00000000" w14:paraId="0000001C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3.2</w:t>
      </w:r>
      <w:r w:rsidDel="00000000" w:rsidR="00000000" w:rsidRPr="00000000">
        <w:rPr>
          <w:rtl w:val="0"/>
        </w:rPr>
        <w:tab/>
        <w:t xml:space="preserve">Příkazce je povinen neprodleně informovat příkazníka o všech skutečnostech a změnách, které se týkají předmětu uzavřené příkazní smlouvy.</w:t>
      </w:r>
    </w:p>
    <w:p w:rsidR="00000000" w:rsidDel="00000000" w:rsidP="00000000" w:rsidRDefault="00000000" w:rsidRPr="00000000" w14:paraId="0000001D">
      <w:pPr>
        <w:pStyle w:val="Heading2"/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4. POVINNOSTI PŘÍKAZNÍKA</w:t>
      </w:r>
    </w:p>
    <w:p w:rsidR="00000000" w:rsidDel="00000000" w:rsidP="00000000" w:rsidRDefault="00000000" w:rsidRPr="00000000" w14:paraId="0000001E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4.1</w:t>
      </w:r>
      <w:r w:rsidDel="00000000" w:rsidR="00000000" w:rsidRPr="00000000">
        <w:rPr>
          <w:rtl w:val="0"/>
        </w:rPr>
        <w:tab/>
        <w:t xml:space="preserve">Příkazník je povinen postupovat při zařizování záležitostí dle této smlouvy s náležitou odbornou péčí.</w:t>
      </w:r>
    </w:p>
    <w:p w:rsidR="00000000" w:rsidDel="00000000" w:rsidP="00000000" w:rsidRDefault="00000000" w:rsidRPr="00000000" w14:paraId="0000001F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4.2</w:t>
      </w:r>
      <w:r w:rsidDel="00000000" w:rsidR="00000000" w:rsidRPr="00000000">
        <w:rPr>
          <w:rtl w:val="0"/>
        </w:rPr>
        <w:tab/>
        <w:t xml:space="preserve">Příkazník je dále povinen sdělit příkazci veškeré informace z jednání s klientem. Zejména identifikační údaje, informaci o klientovi nabízených a klientem požadovaných službách.</w:t>
      </w:r>
    </w:p>
    <w:p w:rsidR="00000000" w:rsidDel="00000000" w:rsidP="00000000" w:rsidRDefault="00000000" w:rsidRPr="00000000" w14:paraId="00000020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4.3</w:t>
      </w:r>
      <w:r w:rsidDel="00000000" w:rsidR="00000000" w:rsidRPr="00000000">
        <w:rPr>
          <w:rtl w:val="0"/>
        </w:rPr>
        <w:tab/>
        <w:t xml:space="preserve">Příkazník je povinen informovat příkazce o svém postupu a dosažených výsledcích při jednáních za příkazce.</w:t>
      </w:r>
    </w:p>
    <w:p w:rsidR="00000000" w:rsidDel="00000000" w:rsidP="00000000" w:rsidRDefault="00000000" w:rsidRPr="00000000" w14:paraId="00000021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4.4</w:t>
      </w:r>
      <w:r w:rsidDel="00000000" w:rsidR="00000000" w:rsidRPr="00000000">
        <w:rPr>
          <w:rtl w:val="0"/>
        </w:rPr>
        <w:tab/>
        <w:t xml:space="preserve">Zjistí-li příkazník, že pokyny příkazce jsou nevhodné či neúčelné, je povinen příkazce na tuto skutečnost upozornit.</w:t>
      </w:r>
    </w:p>
    <w:p w:rsidR="00000000" w:rsidDel="00000000" w:rsidP="00000000" w:rsidRDefault="00000000" w:rsidRPr="00000000" w14:paraId="00000022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4.5</w:t>
      </w:r>
      <w:r w:rsidDel="00000000" w:rsidR="00000000" w:rsidRPr="00000000">
        <w:rPr>
          <w:rtl w:val="0"/>
        </w:rPr>
        <w:tab/>
        <w:t xml:space="preserve">Příkazník je povinen zařídit náležitosti dle této smlouvy osobně nebo, se souhlasem příkazce, prostřednictvím jiných osob. V takovém případě odpovídá příkazci, jako by záležitost zařizoval sám.</w:t>
      </w:r>
    </w:p>
    <w:p w:rsidR="00000000" w:rsidDel="00000000" w:rsidP="00000000" w:rsidRDefault="00000000" w:rsidRPr="00000000" w14:paraId="00000023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4.6</w:t>
      </w:r>
      <w:r w:rsidDel="00000000" w:rsidR="00000000" w:rsidRPr="00000000">
        <w:rPr>
          <w:rtl w:val="0"/>
        </w:rPr>
        <w:tab/>
        <w:t xml:space="preserve">Příkazník je povinen chránit a zachovávat obchodní a hospodářské tajemství příkazce, jakož i zachovávat mlčenlivost o skutečnostech, které se při činnosti dle této smlouvy dozvěděl.</w:t>
      </w:r>
    </w:p>
    <w:p w:rsidR="00000000" w:rsidDel="00000000" w:rsidP="00000000" w:rsidRDefault="00000000" w:rsidRPr="00000000" w14:paraId="00000024">
      <w:pPr>
        <w:pStyle w:val="Heading2"/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5. ROZSAH A ODMĚNA ZA POSKYTNUTÉ FINANČNÍ A ORGANIZAČNÍ PORADENSTVÍ</w:t>
      </w:r>
    </w:p>
    <w:p w:rsidR="00000000" w:rsidDel="00000000" w:rsidP="00000000" w:rsidRDefault="00000000" w:rsidRPr="00000000" w14:paraId="00000025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5.1</w:t>
      </w:r>
      <w:r w:rsidDel="00000000" w:rsidR="00000000" w:rsidRPr="00000000">
        <w:rPr>
          <w:rtl w:val="0"/>
        </w:rPr>
        <w:tab/>
        <w:t xml:space="preserve">Za poskytování poradenství náleží příkazníkovi odměna ve výši .............. Kč/ hodinu práce. Odměna je vyplacena na základě faktury vystavené příkazníkem a odsouhlasené zástupcem příkazníka. </w:t>
      </w:r>
    </w:p>
    <w:p w:rsidR="00000000" w:rsidDel="00000000" w:rsidP="00000000" w:rsidRDefault="00000000" w:rsidRPr="00000000" w14:paraId="00000026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5.2</w:t>
      </w:r>
      <w:r w:rsidDel="00000000" w:rsidR="00000000" w:rsidRPr="00000000">
        <w:rPr>
          <w:rtl w:val="0"/>
        </w:rPr>
        <w:tab/>
        <w:t xml:space="preserve">Příkazce je oprávněn vždy nejpozději do 3. dne od doručení faktury doručit příkazníkovi své výhrady k činnostem příkazce za uplynulý kalendářní měsíc s tím, že strany tyto výhrady projednají nejpozději do 10. dne od doručení faktury. </w:t>
      </w:r>
    </w:p>
    <w:p w:rsidR="00000000" w:rsidDel="00000000" w:rsidP="00000000" w:rsidRDefault="00000000" w:rsidRPr="00000000" w14:paraId="00000027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5.3</w:t>
      </w:r>
      <w:r w:rsidDel="00000000" w:rsidR="00000000" w:rsidRPr="00000000">
        <w:rPr>
          <w:rtl w:val="0"/>
        </w:rPr>
        <w:tab/>
        <w:t xml:space="preserve">V odměně jsou zahrnuty veškeré náklady příkazníka na plnění této smlouvy. Jakékoli další náklady na plnění této smlouvy, které nejsou zahrnuty v odměně, nese příkazce pouze tehdy, pokud je předem písemně nebo e-mailem odsouhlasil, a to buď přímo, nebo na základě jejich přefakturace příkazníkem, nedohodnou-li se strany jinak. </w:t>
      </w:r>
    </w:p>
    <w:p w:rsidR="00000000" w:rsidDel="00000000" w:rsidP="00000000" w:rsidRDefault="00000000" w:rsidRPr="00000000" w14:paraId="00000028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5.4</w:t>
      </w:r>
      <w:r w:rsidDel="00000000" w:rsidR="00000000" w:rsidRPr="00000000">
        <w:rPr>
          <w:rtl w:val="0"/>
        </w:rPr>
        <w:tab/>
        <w:t xml:space="preserve">Pokud se příkazník stane plátcem daně z přidané hodnoty, bude k odměně příkazníka připočtena daň z přidané hodnoty v zákonné výši. </w:t>
      </w:r>
    </w:p>
    <w:p w:rsidR="00000000" w:rsidDel="00000000" w:rsidP="00000000" w:rsidRDefault="00000000" w:rsidRPr="00000000" w14:paraId="00000029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5.5</w:t>
      </w:r>
      <w:r w:rsidDel="00000000" w:rsidR="00000000" w:rsidRPr="00000000">
        <w:rPr>
          <w:rtl w:val="0"/>
        </w:rPr>
        <w:tab/>
        <w:t xml:space="preserve">Po vzájemné dohodě smluvních stran je možno rozsah smlouvy rozšířit. </w:t>
      </w:r>
    </w:p>
    <w:p w:rsidR="00000000" w:rsidDel="00000000" w:rsidP="00000000" w:rsidRDefault="00000000" w:rsidRPr="00000000" w14:paraId="0000002A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5.6</w:t>
      </w:r>
      <w:r w:rsidDel="00000000" w:rsidR="00000000" w:rsidRPr="00000000">
        <w:rPr>
          <w:rtl w:val="0"/>
        </w:rPr>
        <w:tab/>
        <w:t xml:space="preserve">Odměna bude příkazníkovi proplácena převodem na účet č. ....................................... na základě této smlouvy a faktury vystavené příkazníkem, kterou odsouhlasí odpovědná osoba příkazce.</w:t>
      </w:r>
    </w:p>
    <w:p w:rsidR="00000000" w:rsidDel="00000000" w:rsidP="00000000" w:rsidRDefault="00000000" w:rsidRPr="00000000" w14:paraId="0000002B">
      <w:pPr>
        <w:pStyle w:val="Heading2"/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6. MLČENLIVOST, KONKURENČNÍ DOLOŽKA</w:t>
      </w:r>
    </w:p>
    <w:p w:rsidR="00000000" w:rsidDel="00000000" w:rsidP="00000000" w:rsidRDefault="00000000" w:rsidRPr="00000000" w14:paraId="0000002C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6.1</w:t>
        <w:tab/>
      </w:r>
      <w:r w:rsidDel="00000000" w:rsidR="00000000" w:rsidRPr="00000000">
        <w:rPr>
          <w:rtl w:val="0"/>
        </w:rPr>
        <w:t xml:space="preserve">Příkazník je povinen zachovávat mlčenlivost o veškerých důvěrných informacích, které se v souvislosti s poskytováním služeb dle této smlouvy dozví. Důvěrnou informací se pro účely této smlouvy rozumí veškeré informace jakéhokoliv druhu včetně informací obchodních (zejména, ovšem nikoli výlučně, informace o skutečnostech, které tvoří obchodní tajemství příkazce), informací o organizačních a praktických postupech, jakož i veškeré další informace získané příkazníkem přímo či nepřímo od příkazce v písemné, ústní, elektronické či jakékoliv jiné podobě v souvislosti s touto smlouvou. Důvěrná je i informace o podmínkách spolupráce dle této smlouvy.</w:t>
      </w:r>
    </w:p>
    <w:p w:rsidR="00000000" w:rsidDel="00000000" w:rsidP="00000000" w:rsidRDefault="00000000" w:rsidRPr="00000000" w14:paraId="0000002D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6.2</w:t>
      </w:r>
      <w:r w:rsidDel="00000000" w:rsidR="00000000" w:rsidRPr="00000000">
        <w:rPr>
          <w:rtl w:val="0"/>
        </w:rPr>
        <w:tab/>
        <w:t xml:space="preserve">Příkazník není oprávněn poskytovat služby v oblasti IT a marketingu, definované v rámci 2.1, jiným subjektům, pokud by tím mohlo dojít k ohrožení nebo porušení práv příkazce. V případě pochybností je příkazník oprávněn poskytovat stejný druh služeb jako dle této smlouvy i třetím osobám pouze s předchozím písemným souhlasem příkazce.</w:t>
      </w:r>
    </w:p>
    <w:p w:rsidR="00000000" w:rsidDel="00000000" w:rsidP="00000000" w:rsidRDefault="00000000" w:rsidRPr="00000000" w14:paraId="0000002E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6.3</w:t>
      </w:r>
      <w:r w:rsidDel="00000000" w:rsidR="00000000" w:rsidRPr="00000000">
        <w:rPr>
          <w:rtl w:val="0"/>
        </w:rPr>
        <w:tab/>
        <w:t xml:space="preserve">Příkazník nesmí po období jednoho kalendářního roku od ukončení této smlouvy vykonávat či zprostředkovávat služby uvedené v 2.1 pro klienty Příkazce. Výjimku musí písemně potvrdit Příkazce.</w:t>
      </w:r>
    </w:p>
    <w:p w:rsidR="00000000" w:rsidDel="00000000" w:rsidP="00000000" w:rsidRDefault="00000000" w:rsidRPr="00000000" w14:paraId="0000002F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6.4</w:t>
      </w:r>
      <w:r w:rsidDel="00000000" w:rsidR="00000000" w:rsidRPr="00000000">
        <w:rPr>
          <w:rtl w:val="0"/>
        </w:rPr>
        <w:tab/>
        <w:t xml:space="preserve">V případě porušení povinností stanovených v tomto čl. 6 je příkazník povinen zaplatit příkazci smluvní pokutu ve výši 250. 000,- Kč za každý jednotlivý případ. Nárok na náhradu škody přesahující smluvní pokutu tím není dotčen. Příkazník nesmí pracovat 12 měsíců s klienty naší společnosti.</w:t>
      </w:r>
    </w:p>
    <w:p w:rsidR="00000000" w:rsidDel="00000000" w:rsidP="00000000" w:rsidRDefault="00000000" w:rsidRPr="00000000" w14:paraId="00000030">
      <w:pPr>
        <w:pStyle w:val="Heading2"/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7. SPOLEČNÁ USTANOVENÍ</w:t>
      </w:r>
    </w:p>
    <w:p w:rsidR="00000000" w:rsidDel="00000000" w:rsidP="00000000" w:rsidRDefault="00000000" w:rsidRPr="00000000" w14:paraId="00000031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7.1</w:t>
      </w:r>
      <w:r w:rsidDel="00000000" w:rsidR="00000000" w:rsidRPr="00000000">
        <w:rPr>
          <w:rtl w:val="0"/>
        </w:rPr>
        <w:tab/>
        <w:t xml:space="preserve">Příkazník neodpovídá příkazci za škodu, která příkazci vznikla tím, že příkazce nedodrží termín vůči příkazníkovi nebo třetí osobě, nepředá úplné podklady nebo informace, případně nesdělí včas příkazníkovi jiné skutečnosti.</w:t>
      </w:r>
    </w:p>
    <w:p w:rsidR="00000000" w:rsidDel="00000000" w:rsidP="00000000" w:rsidRDefault="00000000" w:rsidRPr="00000000" w14:paraId="00000032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7.2</w:t>
      </w:r>
      <w:r w:rsidDel="00000000" w:rsidR="00000000" w:rsidRPr="00000000">
        <w:rPr>
          <w:rtl w:val="0"/>
        </w:rPr>
        <w:tab/>
        <w:t xml:space="preserve">Tato smlouva se uzavírá na dobu neurčitou a nabývá účinnosti dnem podpisu oběma smluvními stranami.</w:t>
      </w:r>
    </w:p>
    <w:p w:rsidR="00000000" w:rsidDel="00000000" w:rsidP="00000000" w:rsidRDefault="00000000" w:rsidRPr="00000000" w14:paraId="00000033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7.3</w:t>
      </w:r>
      <w:r w:rsidDel="00000000" w:rsidR="00000000" w:rsidRPr="00000000">
        <w:rPr>
          <w:rtl w:val="0"/>
        </w:rPr>
        <w:tab/>
        <w:t xml:space="preserve">Příkazce i příkazník jsou oprávněni smlouvu kdykoliv vypovědět i bez udání důvodu, příkazník má však nárok na odměnu za alikvotní část provedených prací. Výpovědní doba činí 2 měsíce a počíná běžet od měsíce následujícího po písemném předání výpovědi druhé straně.</w:t>
      </w:r>
    </w:p>
    <w:p w:rsidR="00000000" w:rsidDel="00000000" w:rsidP="00000000" w:rsidRDefault="00000000" w:rsidRPr="00000000" w14:paraId="00000034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7.4</w:t>
        <w:tab/>
      </w:r>
      <w:r w:rsidDel="00000000" w:rsidR="00000000" w:rsidRPr="00000000">
        <w:rPr>
          <w:rtl w:val="0"/>
        </w:rPr>
        <w:t xml:space="preserve">Smlouva může být měněna nebo doplňována pouze na základě písemných dodatků podepsaných oběma smluvními stranami.</w:t>
      </w:r>
    </w:p>
    <w:p w:rsidR="00000000" w:rsidDel="00000000" w:rsidP="00000000" w:rsidRDefault="00000000" w:rsidRPr="00000000" w14:paraId="00000035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7.5</w:t>
      </w:r>
      <w:r w:rsidDel="00000000" w:rsidR="00000000" w:rsidRPr="00000000">
        <w:rPr>
          <w:rtl w:val="0"/>
        </w:rPr>
        <w:tab/>
        <w:t xml:space="preserve">Tato smlouva se vyhotovuje ve dvou stejnopisech, po jednom pro každou smluvní stranu.</w:t>
      </w:r>
    </w:p>
    <w:p w:rsidR="00000000" w:rsidDel="00000000" w:rsidP="00000000" w:rsidRDefault="00000000" w:rsidRPr="00000000" w14:paraId="00000036">
      <w:pPr>
        <w:pStyle w:val="Heading2"/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8. Podpisová tabulka</w:t>
      </w:r>
    </w:p>
    <w:tbl>
      <w:tblPr>
        <w:tblStyle w:val="Table2"/>
        <w:tblW w:w="939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70"/>
        <w:gridCol w:w="4920"/>
        <w:tblGridChange w:id="0">
          <w:tblGrid>
            <w:gridCol w:w="4470"/>
            <w:gridCol w:w="4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425"/>
              </w:tabs>
              <w:spacing w:line="240" w:lineRule="auto"/>
              <w:rPr>
                <w:b w:val="1"/>
                <w:color w:val="ffffff"/>
              </w:rPr>
            </w:pPr>
            <w:bookmarkStart w:colFirst="0" w:colLast="0" w:name="_heading=h.3rdcrjn" w:id="1"/>
            <w:bookmarkEnd w:id="1"/>
            <w:r w:rsidDel="00000000" w:rsidR="00000000" w:rsidRPr="00000000">
              <w:rPr>
                <w:b w:val="1"/>
                <w:color w:val="ffffff"/>
                <w:rtl w:val="0"/>
              </w:rPr>
              <w:t xml:space="preserve">Příkazce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425"/>
              </w:tabs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Příkazník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42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Podpis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42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Podpis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42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Dne ....................................... v 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133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Code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20" w:before="120" w:line="240" w:lineRule="auto"/>
      <w:ind w:left="0" w:right="0" w:firstLine="0"/>
      <w:jc w:val="right"/>
      <w:rPr>
        <w:rFonts w:ascii="Fira Sans" w:cs="Fira Sans" w:eastAsia="Fira Sans" w:hAnsi="Fir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Fira Sans" w:cs="Fira Sans" w:eastAsia="Fira Sans" w:hAnsi="Fir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Fira Sans" w:cs="Fira Sans" w:eastAsia="Fira Sans" w:hAnsi="Fir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/4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20" w:before="120" w:line="240" w:lineRule="auto"/>
      <w:ind w:left="0" w:right="0" w:firstLine="0"/>
      <w:jc w:val="left"/>
      <w:rPr>
        <w:rFonts w:ascii="Fira Sans" w:cs="Fira Sans" w:eastAsia="Fira Sans" w:hAnsi="Fir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tabs>
        <w:tab w:val="left" w:leader="none" w:pos="425"/>
      </w:tabs>
      <w:ind w:left="-850" w:firstLine="0"/>
      <w:rPr/>
    </w:pPr>
    <w:r w:rsidDel="00000000" w:rsidR="00000000" w:rsidRPr="00000000">
      <w:rPr/>
      <w:drawing>
        <wp:inline distB="114300" distT="114300" distL="114300" distR="114300">
          <wp:extent cx="2157413" cy="887543"/>
          <wp:effectExtent b="0" l="0" r="0" t="0"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7413" cy="8875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Fira Sans" w:cs="Fira Sans" w:eastAsia="Fira Sans" w:hAnsi="Fira Sans"/>
        <w:sz w:val="22"/>
        <w:szCs w:val="22"/>
        <w:lang w:val="cs"/>
      </w:rPr>
    </w:rPrDefault>
    <w:pPrDefault>
      <w:pPr>
        <w:tabs>
          <w:tab w:val="left" w:leader="none" w:pos="425"/>
        </w:tabs>
        <w:spacing w:after="120" w:before="12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lineRule="auto"/>
    </w:pPr>
    <w:rPr>
      <w:b w:val="1"/>
      <w:color w:val="0293fa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  <w:rsid w:val="002D6A2B"/>
    <w:pPr>
      <w:tabs>
        <w:tab w:val="left" w:pos="425"/>
      </w:tabs>
      <w:spacing w:after="120" w:before="120" w:line="312" w:lineRule="auto"/>
    </w:pPr>
    <w:rPr>
      <w:sz w:val="22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before="400"/>
      <w:outlineLvl w:val="0"/>
    </w:pPr>
    <w:rPr>
      <w:b w:val="1"/>
      <w:color w:val="0293fa"/>
      <w:sz w:val="40"/>
      <w:szCs w:val="40"/>
    </w:rPr>
  </w:style>
  <w:style w:type="paragraph" w:styleId="Nadpis2">
    <w:name w:val="heading 2"/>
    <w:basedOn w:val="Normln"/>
    <w:next w:val="Normln"/>
    <w:uiPriority w:val="9"/>
    <w:unhideWhenUsed w:val="1"/>
    <w:qFormat w:val="1"/>
    <w:rsid w:val="001061AF"/>
    <w:pPr>
      <w:keepNext w:val="1"/>
      <w:keepLines w:val="1"/>
      <w:spacing w:before="480"/>
      <w:outlineLvl w:val="1"/>
    </w:pPr>
    <w:rPr>
      <w:b w:val="1"/>
      <w:sz w:val="32"/>
      <w:szCs w:val="32"/>
    </w:rPr>
  </w:style>
  <w:style w:type="paragraph" w:styleId="Nadpis3">
    <w:name w:val="heading 3"/>
    <w:basedOn w:val="Normln"/>
    <w:next w:val="Normln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b w:val="1"/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b w:val="1"/>
      <w:color w:val="666666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Cs w:val="2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Kolonky" w:customStyle="1">
    <w:name w:val="Kolonky"/>
    <w:basedOn w:val="Normln"/>
    <w:link w:val="KolonkyChar"/>
    <w:qFormat w:val="1"/>
    <w:rsid w:val="009B1D87"/>
    <w:pPr>
      <w:tabs>
        <w:tab w:val="left" w:leader="hyphen" w:pos="4536"/>
      </w:tabs>
    </w:pPr>
  </w:style>
  <w:style w:type="paragraph" w:styleId="Odstavecseseznamem">
    <w:name w:val="List Paragraph"/>
    <w:basedOn w:val="Normln"/>
    <w:uiPriority w:val="34"/>
    <w:qFormat w:val="1"/>
    <w:rsid w:val="009B1D87"/>
    <w:pPr>
      <w:ind w:left="720"/>
      <w:contextualSpacing w:val="1"/>
    </w:pPr>
  </w:style>
  <w:style w:type="character" w:styleId="KolonkyChar" w:customStyle="1">
    <w:name w:val="Kolonky Char"/>
    <w:basedOn w:val="Standardnpsmoodstavce"/>
    <w:link w:val="Kolonky"/>
    <w:rsid w:val="009B1D87"/>
  </w:style>
  <w:style w:type="paragraph" w:styleId="Zhlav">
    <w:name w:val="header"/>
    <w:basedOn w:val="Normln"/>
    <w:link w:val="ZhlavChar"/>
    <w:uiPriority w:val="99"/>
    <w:unhideWhenUsed w:val="1"/>
    <w:rsid w:val="00F47F00"/>
    <w:pPr>
      <w:tabs>
        <w:tab w:val="center" w:pos="4513"/>
        <w:tab w:val="right" w:pos="902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47F00"/>
  </w:style>
  <w:style w:type="paragraph" w:styleId="Zpat">
    <w:name w:val="footer"/>
    <w:basedOn w:val="Normln"/>
    <w:link w:val="ZpatChar"/>
    <w:uiPriority w:val="99"/>
    <w:unhideWhenUsed w:val="1"/>
    <w:rsid w:val="00F47F00"/>
    <w:pPr>
      <w:tabs>
        <w:tab w:val="center" w:pos="4513"/>
        <w:tab w:val="right" w:pos="902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47F0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Relationship Id="rId5" Type="http://schemas.openxmlformats.org/officeDocument/2006/relationships/font" Target="fonts/FiraCode-regular.ttf"/><Relationship Id="rId6" Type="http://schemas.openxmlformats.org/officeDocument/2006/relationships/font" Target="fonts/FiraCode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U/9ML5npfNgPFmB945LDg03V2g==">CgMxLjAyCWguMXQzaDVzZjIJaC4zcmRjcmpuOAByITEyOVBtVWtPT1dYaXJ6X3NvTW9hWUNoSUVEUzNNN1Q2NQ==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2023-03-05T12:14:00Z</dcterms:created>
  <dc:creator>tritonIT</dc:creator>
</cp:coreProperties>
</file>