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425"/>
        </w:tabs>
        <w:rPr>
          <w:rFonts w:ascii="Fira Code" w:cs="Fira Code" w:eastAsia="Fira Code" w:hAnsi="Fira Code"/>
        </w:rPr>
      </w:pPr>
      <w:r w:rsidDel="00000000" w:rsidR="00000000" w:rsidRPr="00000000">
        <w:rPr>
          <w:rFonts w:ascii="Fira Code" w:cs="Fira Code" w:eastAsia="Fira Code" w:hAnsi="Fira Code"/>
          <w:rtl w:val="0"/>
        </w:rPr>
        <w:t xml:space="preserve">Dohoda o ochraně důvěrných informací (NDA)</w:t>
      </w:r>
    </w:p>
    <w:p w:rsidR="00000000" w:rsidDel="00000000" w:rsidP="00000000" w:rsidRDefault="00000000" w:rsidRPr="00000000" w14:paraId="00000002">
      <w:pPr>
        <w:pStyle w:val="Heading2"/>
        <w:tabs>
          <w:tab w:val="left" w:leader="none" w:pos="425"/>
        </w:tabs>
        <w:rPr/>
      </w:pPr>
      <w:r w:rsidDel="00000000" w:rsidR="00000000" w:rsidRPr="00000000">
        <w:rPr>
          <w:rtl w:val="0"/>
        </w:rPr>
        <w:t xml:space="preserve">1. STRANY DOHODY</w:t>
      </w:r>
    </w:p>
    <w:tbl>
      <w:tblPr>
        <w:tblStyle w:val="Table1"/>
        <w:tblW w:w="93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5"/>
        <w:gridCol w:w="4675"/>
        <w:tblGridChange w:id="0">
          <w:tblGrid>
            <w:gridCol w:w="4715"/>
            <w:gridCol w:w="467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03">
            <w:pPr>
              <w:widowControl w:val="0"/>
              <w:tabs>
                <w:tab w:val="left" w:leader="none" w:pos="425"/>
              </w:tabs>
              <w:spacing w:line="240" w:lineRule="auto"/>
              <w:rPr>
                <w:b w:val="1"/>
                <w:color w:val="ffffff"/>
              </w:rPr>
            </w:pPr>
            <w:bookmarkStart w:colFirst="0" w:colLast="0" w:name="_heading=h.1t3h5sf" w:id="0"/>
            <w:bookmarkEnd w:id="0"/>
            <w:r w:rsidDel="00000000" w:rsidR="00000000" w:rsidRPr="00000000">
              <w:rPr>
                <w:b w:val="1"/>
                <w:color w:val="ffffff"/>
                <w:rtl w:val="0"/>
              </w:rPr>
              <w:t xml:space="preserve">Poskytovatel</w:t>
            </w:r>
          </w:p>
        </w:tc>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04">
            <w:pPr>
              <w:widowControl w:val="0"/>
              <w:tabs>
                <w:tab w:val="left" w:leader="none" w:pos="425"/>
              </w:tabs>
              <w:spacing w:line="240" w:lineRule="auto"/>
              <w:rPr>
                <w:b w:val="1"/>
                <w:color w:val="ffffff"/>
              </w:rPr>
            </w:pPr>
            <w:r w:rsidDel="00000000" w:rsidR="00000000" w:rsidRPr="00000000">
              <w:rPr>
                <w:b w:val="1"/>
                <w:color w:val="ffffff"/>
                <w:rtl w:val="0"/>
              </w:rPr>
              <w:t xml:space="preserve">Zákazník</w:t>
            </w:r>
          </w:p>
        </w:tc>
      </w:tr>
      <w:tr>
        <w:trPr>
          <w:cantSplit w:val="0"/>
          <w:trHeight w:val="516"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tabs>
                <w:tab w:val="left" w:leader="none" w:pos="425"/>
              </w:tabs>
              <w:spacing w:line="288" w:lineRule="auto"/>
              <w:rPr/>
            </w:pPr>
            <w:r w:rsidDel="00000000" w:rsidR="00000000" w:rsidRPr="00000000">
              <w:rPr>
                <w:rtl w:val="0"/>
              </w:rPr>
              <w:t xml:space="preserve">Triton IT, s. r. o.</w:t>
            </w:r>
          </w:p>
          <w:p w:rsidR="00000000" w:rsidDel="00000000" w:rsidP="00000000" w:rsidRDefault="00000000" w:rsidRPr="00000000" w14:paraId="00000006">
            <w:pPr>
              <w:widowControl w:val="0"/>
              <w:tabs>
                <w:tab w:val="left" w:leader="none" w:pos="425"/>
              </w:tabs>
              <w:spacing w:line="288" w:lineRule="auto"/>
              <w:rPr/>
            </w:pPr>
            <w:r w:rsidDel="00000000" w:rsidR="00000000" w:rsidRPr="00000000">
              <w:rPr>
                <w:rtl w:val="0"/>
              </w:rPr>
              <w:t xml:space="preserve">sídlem Harmonická 1384/13 150 00  Praha 5</w:t>
            </w:r>
          </w:p>
          <w:p w:rsidR="00000000" w:rsidDel="00000000" w:rsidP="00000000" w:rsidRDefault="00000000" w:rsidRPr="00000000" w14:paraId="00000007">
            <w:pPr>
              <w:widowControl w:val="0"/>
              <w:tabs>
                <w:tab w:val="left" w:leader="none" w:pos="425"/>
              </w:tabs>
              <w:spacing w:line="288" w:lineRule="auto"/>
              <w:rPr/>
            </w:pPr>
            <w:r w:rsidDel="00000000" w:rsidR="00000000" w:rsidRPr="00000000">
              <w:rPr>
                <w:rtl w:val="0"/>
              </w:rPr>
              <w:t xml:space="preserve">korespondenčně Ringhofferova 115/1, Komerční areál Nový Zličín, 155 21  Praha 5</w:t>
            </w:r>
          </w:p>
          <w:p w:rsidR="00000000" w:rsidDel="00000000" w:rsidP="00000000" w:rsidRDefault="00000000" w:rsidRPr="00000000" w14:paraId="00000008">
            <w:pPr>
              <w:widowControl w:val="0"/>
              <w:tabs>
                <w:tab w:val="left" w:leader="none" w:pos="425"/>
              </w:tabs>
              <w:spacing w:line="288" w:lineRule="auto"/>
              <w:rPr/>
            </w:pPr>
            <w:r w:rsidDel="00000000" w:rsidR="00000000" w:rsidRPr="00000000">
              <w:rPr>
                <w:rtl w:val="0"/>
              </w:rPr>
              <w:t xml:space="preserve">zastoupená jednatelem Ing. Petrem Čeňkem</w:t>
            </w:r>
          </w:p>
          <w:p w:rsidR="00000000" w:rsidDel="00000000" w:rsidP="00000000" w:rsidRDefault="00000000" w:rsidRPr="00000000" w14:paraId="00000009">
            <w:pPr>
              <w:widowControl w:val="0"/>
              <w:tabs>
                <w:tab w:val="left" w:leader="none" w:pos="425"/>
              </w:tabs>
              <w:spacing w:line="288" w:lineRule="auto"/>
              <w:rPr>
                <w:color w:val="666666"/>
              </w:rPr>
            </w:pPr>
            <w:r w:rsidDel="00000000" w:rsidR="00000000" w:rsidRPr="00000000">
              <w:rPr>
                <w:rtl w:val="0"/>
              </w:rPr>
              <w:t xml:space="preserve">IČO: 03423816, DIČ: CZ03423816</w:t>
            </w: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tabs>
                <w:tab w:val="left" w:leader="none" w:pos="425"/>
              </w:tabs>
              <w:spacing w:line="240" w:lineRule="auto"/>
              <w:rPr>
                <w:b w:val="1"/>
              </w:rPr>
            </w:pPr>
            <w:r w:rsidDel="00000000" w:rsidR="00000000" w:rsidRPr="00000000">
              <w:rPr>
                <w:rtl w:val="0"/>
              </w:rPr>
            </w:r>
          </w:p>
        </w:tc>
      </w:tr>
      <w:tr>
        <w:trPr>
          <w:cantSplit w:val="0"/>
          <w:trHeight w:val="504"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504"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0F">
      <w:pPr>
        <w:tabs>
          <w:tab w:val="left" w:leader="none" w:pos="425"/>
        </w:tabs>
        <w:spacing w:before="360" w:lineRule="auto"/>
        <w:rPr/>
      </w:pPr>
      <w:bookmarkStart w:colFirst="0" w:colLast="0" w:name="_heading=h.3rdcrjn" w:id="1"/>
      <w:bookmarkEnd w:id="1"/>
      <w:r w:rsidDel="00000000" w:rsidR="00000000" w:rsidRPr="00000000">
        <w:rPr>
          <w:rtl w:val="0"/>
        </w:rPr>
        <w:t xml:space="preserve">Uzavírají tuto dohodu o ochraně důvěrných informací.</w:t>
      </w:r>
    </w:p>
    <w:p w:rsidR="00000000" w:rsidDel="00000000" w:rsidP="00000000" w:rsidRDefault="00000000" w:rsidRPr="00000000" w14:paraId="00000010">
      <w:pPr>
        <w:pStyle w:val="Heading2"/>
        <w:tabs>
          <w:tab w:val="left" w:leader="none" w:pos="425"/>
        </w:tabs>
        <w:rPr/>
      </w:pPr>
      <w:r w:rsidDel="00000000" w:rsidR="00000000" w:rsidRPr="00000000">
        <w:rPr>
          <w:rtl w:val="0"/>
        </w:rPr>
        <w:t xml:space="preserve">2. PREAMBULE</w:t>
      </w:r>
    </w:p>
    <w:p w:rsidR="00000000" w:rsidDel="00000000" w:rsidP="00000000" w:rsidRDefault="00000000" w:rsidRPr="00000000" w14:paraId="00000011">
      <w:pPr>
        <w:tabs>
          <w:tab w:val="left" w:leader="none" w:pos="425"/>
        </w:tabs>
        <w:jc w:val="both"/>
        <w:rPr/>
      </w:pPr>
      <w:r w:rsidDel="00000000" w:rsidR="00000000" w:rsidRPr="00000000">
        <w:rPr>
          <w:b w:val="1"/>
          <w:rtl w:val="0"/>
        </w:rPr>
        <w:t xml:space="preserve">2.1</w:t>
      </w:r>
      <w:r w:rsidDel="00000000" w:rsidR="00000000" w:rsidRPr="00000000">
        <w:rPr>
          <w:rtl w:val="0"/>
        </w:rPr>
        <w:tab/>
        <w:t xml:space="preserve">S ohledem na skutečnost, že při naplňování účelu nastavení a správy webové analytiky a online marketingových kampaní bude zákazník sdělovat poskytovateli informace neveřejného charakteru a poskytovatel poskytovat zákazníkovi své know-how, účastníci ujednali touto dohodou jednak samotné vymezení neveřejných informací, nakládání s těmito informacemi a odpovědnost poskytovatele i zákazníka v případě porušení sjednané mlčenlivosti.</w:t>
      </w:r>
    </w:p>
    <w:p w:rsidR="00000000" w:rsidDel="00000000" w:rsidP="00000000" w:rsidRDefault="00000000" w:rsidRPr="00000000" w14:paraId="00000012">
      <w:pPr>
        <w:pStyle w:val="Heading2"/>
        <w:tabs>
          <w:tab w:val="left" w:leader="none" w:pos="425"/>
        </w:tabs>
        <w:rPr/>
      </w:pPr>
      <w:r w:rsidDel="00000000" w:rsidR="00000000" w:rsidRPr="00000000">
        <w:rPr>
          <w:rtl w:val="0"/>
        </w:rPr>
        <w:t xml:space="preserve">3. NEVEŘEJNÉ INFORMACE</w:t>
      </w:r>
    </w:p>
    <w:p w:rsidR="00000000" w:rsidDel="00000000" w:rsidP="00000000" w:rsidRDefault="00000000" w:rsidRPr="00000000" w14:paraId="00000013">
      <w:pPr>
        <w:tabs>
          <w:tab w:val="left" w:leader="none" w:pos="425"/>
        </w:tabs>
        <w:jc w:val="both"/>
        <w:rPr/>
      </w:pPr>
      <w:r w:rsidDel="00000000" w:rsidR="00000000" w:rsidRPr="00000000">
        <w:rPr>
          <w:b w:val="1"/>
          <w:rtl w:val="0"/>
        </w:rPr>
        <w:t xml:space="preserve">3.1</w:t>
      </w:r>
      <w:r w:rsidDel="00000000" w:rsidR="00000000" w:rsidRPr="00000000">
        <w:rPr>
          <w:rtl w:val="0"/>
        </w:rPr>
        <w:tab/>
        <w:t xml:space="preserve">Účastníci výslovně ujednali, že neveřejnými informacemi, pro účely této dohody a zejména pak Smlouvy či Objednávky služeb, jsou Důvěrné informace a Obchodní tajemství, a to bez ohledu na způsob, jakým byly poskytovateli sděleny či zpřístupněny.</w:t>
      </w:r>
    </w:p>
    <w:p w:rsidR="00000000" w:rsidDel="00000000" w:rsidP="00000000" w:rsidRDefault="00000000" w:rsidRPr="00000000" w14:paraId="00000014">
      <w:pPr>
        <w:tabs>
          <w:tab w:val="left" w:leader="none" w:pos="425"/>
        </w:tabs>
        <w:jc w:val="both"/>
        <w:rPr/>
      </w:pPr>
      <w:r w:rsidDel="00000000" w:rsidR="00000000" w:rsidRPr="00000000">
        <w:rPr>
          <w:b w:val="1"/>
          <w:rtl w:val="0"/>
        </w:rPr>
        <w:t xml:space="preserve">3.2</w:t>
      </w:r>
      <w:r w:rsidDel="00000000" w:rsidR="00000000" w:rsidRPr="00000000">
        <w:rPr>
          <w:rtl w:val="0"/>
        </w:rPr>
        <w:tab/>
        <w:t xml:space="preserve">Důvěrné informace jsou veškeré informace, které nejsou obecně známy jak osobám v konkurenčním postavení vůči zákazníkovi, tak běžné veřejnosti, když se zejména jedná o:</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5"/>
        </w:tabs>
        <w:spacing w:after="0" w:before="120" w:line="312" w:lineRule="auto"/>
        <w:ind w:left="720" w:right="0" w:hanging="360"/>
        <w:jc w:val="left"/>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Informace technického charakteru – zejména know-how, technologie aplikací, struktura aplikací,</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5"/>
        </w:tabs>
        <w:spacing w:after="0" w:before="0" w:line="312" w:lineRule="auto"/>
        <w:ind w:left="720" w:right="0" w:hanging="360"/>
        <w:jc w:val="left"/>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informace obchodního charakteru – zejména informace marketingové, cenová strategie, obchodní politika, struktura zákazníků a data o jejich chování (např. Google Analytics),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5"/>
        </w:tabs>
        <w:spacing w:after="0" w:before="0" w:line="312" w:lineRule="auto"/>
        <w:ind w:left="720" w:right="0" w:hanging="360"/>
        <w:jc w:val="left"/>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ujednání mezi smluvními stranami – včetně cen, doby kontraktu</w:t>
        <w:br w:type="textWrapping"/>
        <w:t xml:space="preserve">a e-mailových zpráv,</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25"/>
        </w:tabs>
        <w:spacing w:after="120" w:before="0" w:line="312" w:lineRule="auto"/>
        <w:ind w:left="720" w:right="0" w:hanging="360"/>
        <w:jc w:val="left"/>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veškeré další informace, které jedna ze smluvních stran výslovně označí jako důvěrné.</w:t>
      </w:r>
    </w:p>
    <w:p w:rsidR="00000000" w:rsidDel="00000000" w:rsidP="00000000" w:rsidRDefault="00000000" w:rsidRPr="00000000" w14:paraId="00000019">
      <w:pPr>
        <w:tabs>
          <w:tab w:val="left" w:leader="none" w:pos="425"/>
        </w:tabs>
        <w:jc w:val="both"/>
        <w:rPr/>
      </w:pPr>
      <w:r w:rsidDel="00000000" w:rsidR="00000000" w:rsidRPr="00000000">
        <w:rPr>
          <w:b w:val="1"/>
          <w:rtl w:val="0"/>
        </w:rPr>
        <w:t xml:space="preserve">3.3</w:t>
      </w:r>
      <w:r w:rsidDel="00000000" w:rsidR="00000000" w:rsidRPr="00000000">
        <w:rPr>
          <w:rtl w:val="0"/>
        </w:rPr>
        <w:tab/>
        <w:t xml:space="preserve">Obchodním tajemstvím jsou v dikci ustanovení § 504 zákona č. 89/2012 Sb. Občanský zákoník (dál jen „OZ") skutečnosti, které jsou co do vlastností konkurenčně významné, určité, ocenitelné a v příslušných obchodních kruzích běžně nedostupné, které souvisejí s podnikatelskou činností zákazníka.</w:t>
      </w:r>
    </w:p>
    <w:p w:rsidR="00000000" w:rsidDel="00000000" w:rsidP="00000000" w:rsidRDefault="00000000" w:rsidRPr="00000000" w14:paraId="0000001A">
      <w:pPr>
        <w:tabs>
          <w:tab w:val="left" w:leader="none" w:pos="425"/>
        </w:tabs>
        <w:jc w:val="both"/>
        <w:rPr/>
      </w:pPr>
      <w:r w:rsidDel="00000000" w:rsidR="00000000" w:rsidRPr="00000000">
        <w:rPr>
          <w:b w:val="1"/>
          <w:rtl w:val="0"/>
        </w:rPr>
        <w:t xml:space="preserve">3.4</w:t>
      </w:r>
      <w:r w:rsidDel="00000000" w:rsidR="00000000" w:rsidRPr="00000000">
        <w:rPr>
          <w:rtl w:val="0"/>
        </w:rPr>
        <w:tab/>
        <w:t xml:space="preserve">Za Neveřejné informace se zvláště považuje: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s>
        <w:spacing w:after="0" w:before="120" w:line="312" w:lineRule="auto"/>
        <w:ind w:left="720" w:right="0" w:hanging="360"/>
        <w:jc w:val="left"/>
        <w:rPr/>
      </w:pPr>
      <w:r w:rsidDel="00000000" w:rsidR="00000000" w:rsidRPr="00000000">
        <w:rPr>
          <w:rtl w:val="0"/>
        </w:rPr>
        <w:t xml:space="preserve">z</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drojový kód či informace spojené se zdrojovým kódem,</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s>
        <w:spacing w:after="0" w:before="0" w:line="312" w:lineRule="auto"/>
        <w:ind w:left="720" w:right="0" w:hanging="360"/>
        <w:jc w:val="left"/>
        <w:rPr/>
      </w:pPr>
      <w:r w:rsidDel="00000000" w:rsidR="00000000" w:rsidRPr="00000000">
        <w:rPr>
          <w:rtl w:val="0"/>
        </w:rPr>
        <w:t xml:space="preserve">i</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nformace o zákaznících a jejich chování,</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s>
        <w:spacing w:after="0" w:before="0" w:line="312" w:lineRule="auto"/>
        <w:ind w:left="720" w:right="0" w:hanging="360"/>
        <w:jc w:val="left"/>
        <w:rPr/>
      </w:pPr>
      <w:r w:rsidDel="00000000" w:rsidR="00000000" w:rsidRPr="00000000">
        <w:rPr>
          <w:rtl w:val="0"/>
        </w:rPr>
        <w:t xml:space="preserve">n</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astavení marketingových nástrojů,</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5"/>
        </w:tabs>
        <w:spacing w:after="120" w:before="0" w:line="312" w:lineRule="auto"/>
        <w:ind w:left="720" w:right="0" w:hanging="360"/>
        <w:jc w:val="left"/>
        <w:rPr/>
      </w:pPr>
      <w:r w:rsidDel="00000000" w:rsidR="00000000" w:rsidRPr="00000000">
        <w:rPr>
          <w:rtl w:val="0"/>
        </w:rPr>
        <w:t xml:space="preserve">p</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řístupové údaje.</w:t>
      </w:r>
    </w:p>
    <w:p w:rsidR="00000000" w:rsidDel="00000000" w:rsidP="00000000" w:rsidRDefault="00000000" w:rsidRPr="00000000" w14:paraId="0000001F">
      <w:pPr>
        <w:pStyle w:val="Heading2"/>
        <w:tabs>
          <w:tab w:val="left" w:leader="none" w:pos="425"/>
        </w:tabs>
        <w:rPr/>
      </w:pPr>
      <w:r w:rsidDel="00000000" w:rsidR="00000000" w:rsidRPr="00000000">
        <w:rPr>
          <w:rtl w:val="0"/>
        </w:rPr>
        <w:t xml:space="preserve">4. ZÁVAZEK MLČENLIVOSTI</w:t>
      </w:r>
    </w:p>
    <w:p w:rsidR="00000000" w:rsidDel="00000000" w:rsidP="00000000" w:rsidRDefault="00000000" w:rsidRPr="00000000" w14:paraId="00000020">
      <w:pPr>
        <w:tabs>
          <w:tab w:val="left" w:leader="none" w:pos="425"/>
        </w:tabs>
        <w:jc w:val="both"/>
        <w:rPr/>
      </w:pPr>
      <w:r w:rsidDel="00000000" w:rsidR="00000000" w:rsidRPr="00000000">
        <w:rPr>
          <w:b w:val="1"/>
          <w:rtl w:val="0"/>
        </w:rPr>
        <w:t xml:space="preserve">4.1</w:t>
      </w:r>
      <w:r w:rsidDel="00000000" w:rsidR="00000000" w:rsidRPr="00000000">
        <w:rPr>
          <w:rtl w:val="0"/>
        </w:rPr>
        <w:tab/>
        <w:t xml:space="preserve">Poskytovatel se tímto výslovně zavazuje, že o veškerých Neveřejných informacích tak, jak jsou definovány v článku I. této dohody bude zachovávat mlčenlivost, tedy bez předchozího písemného a výslovného souhlasu zákazníka tyto informace žádným způsobem nepředá ani nezpřístupní žádné třetí osobě, ani je nebude jakkoliv zveřejňovat či šířit, nepoužije je v rozporu s účelem, pro který mu tyto informace byly poskytnuty, ani je žádným způsobem nevyužije pro vlastní potřebu. Tento závazek se nevztahuje pouze na informace, které jsou výslovně vyžádány orgány činnými v trestním řízení, soudy nebo oprávněnými správními orgány. O této skutečnosti musí poskytovatel, v případě že mu nebrání žádná zákonná překážka, bezprostředně zákazníka informovat.</w:t>
      </w:r>
    </w:p>
    <w:p w:rsidR="00000000" w:rsidDel="00000000" w:rsidP="00000000" w:rsidRDefault="00000000" w:rsidRPr="00000000" w14:paraId="00000021">
      <w:pPr>
        <w:tabs>
          <w:tab w:val="left" w:leader="none" w:pos="425"/>
        </w:tabs>
        <w:jc w:val="both"/>
        <w:rPr/>
      </w:pPr>
      <w:r w:rsidDel="00000000" w:rsidR="00000000" w:rsidRPr="00000000">
        <w:rPr>
          <w:b w:val="1"/>
          <w:rtl w:val="0"/>
        </w:rPr>
        <w:t xml:space="preserve">4.2</w:t>
      </w:r>
      <w:r w:rsidDel="00000000" w:rsidR="00000000" w:rsidRPr="00000000">
        <w:rPr>
          <w:rtl w:val="0"/>
        </w:rPr>
        <w:tab/>
        <w:t xml:space="preserve">Závazek mlčenlivosti uvedený v prvním odstavci tohoto článku je platný a účinný jak po celou dobu trvání spolupráce účastníků, založené Smlouvou či Objednávkou služeb, tak i po celou dobu, kdy si neveřejné informace udrží svou povahu neveřejnosti, minimálně však 10 let po ukončení spolupráce.</w:t>
      </w:r>
    </w:p>
    <w:p w:rsidR="00000000" w:rsidDel="00000000" w:rsidP="00000000" w:rsidRDefault="00000000" w:rsidRPr="00000000" w14:paraId="00000022">
      <w:pPr>
        <w:pStyle w:val="Heading2"/>
        <w:tabs>
          <w:tab w:val="left" w:leader="none" w:pos="425"/>
        </w:tabs>
        <w:rPr/>
      </w:pPr>
      <w:r w:rsidDel="00000000" w:rsidR="00000000" w:rsidRPr="00000000">
        <w:rPr>
          <w:rtl w:val="0"/>
        </w:rPr>
        <w:t xml:space="preserve">5. VLASTNÍK INFORMACÍ</w:t>
      </w:r>
    </w:p>
    <w:p w:rsidR="00000000" w:rsidDel="00000000" w:rsidP="00000000" w:rsidRDefault="00000000" w:rsidRPr="00000000" w14:paraId="00000023">
      <w:pPr>
        <w:tabs>
          <w:tab w:val="left" w:leader="none" w:pos="425"/>
        </w:tabs>
        <w:jc w:val="both"/>
        <w:rPr/>
      </w:pPr>
      <w:r w:rsidDel="00000000" w:rsidR="00000000" w:rsidRPr="00000000">
        <w:rPr>
          <w:b w:val="1"/>
          <w:rtl w:val="0"/>
        </w:rPr>
        <w:t xml:space="preserve">5.1</w:t>
      </w:r>
      <w:r w:rsidDel="00000000" w:rsidR="00000000" w:rsidRPr="00000000">
        <w:rPr>
          <w:rtl w:val="0"/>
        </w:rPr>
        <w:tab/>
        <w:t xml:space="preserve">Bylo ujednáno, že veškeré vyměněné informace, a to jak informace veřejné, tak i Neveřejné informace zůstávající výlučným vlastnictvím poskytující smluvní strany a nezakládají druhé straně žádná práva jako zejména práva duševního vlastnictví.</w:t>
      </w:r>
    </w:p>
    <w:p w:rsidR="00000000" w:rsidDel="00000000" w:rsidP="00000000" w:rsidRDefault="00000000" w:rsidRPr="00000000" w14:paraId="00000024">
      <w:pPr>
        <w:tabs>
          <w:tab w:val="left" w:leader="none" w:pos="425"/>
        </w:tabs>
        <w:jc w:val="both"/>
        <w:rPr/>
      </w:pPr>
      <w:r w:rsidDel="00000000" w:rsidR="00000000" w:rsidRPr="00000000">
        <w:rPr>
          <w:b w:val="1"/>
          <w:rtl w:val="0"/>
        </w:rPr>
        <w:t xml:space="preserve">5.2</w:t>
      </w:r>
      <w:r w:rsidDel="00000000" w:rsidR="00000000" w:rsidRPr="00000000">
        <w:rPr>
          <w:rtl w:val="0"/>
        </w:rPr>
        <w:tab/>
        <w:t xml:space="preserve">Smluvní strany se zavazují, že veškeré informace, zejména pak Neveřejné informace budou důsledně ochraňovat a zajistí, aby jakýmkoliv právním úkonem (včetně opomenutí) nedošlo k jejich zpřístupnění, předání, zveřejnění či šíření (jak je ujednáno v článku 11.).</w:t>
      </w:r>
    </w:p>
    <w:p w:rsidR="00000000" w:rsidDel="00000000" w:rsidP="00000000" w:rsidRDefault="00000000" w:rsidRPr="00000000" w14:paraId="00000025">
      <w:pPr>
        <w:tabs>
          <w:tab w:val="left" w:leader="none" w:pos="425"/>
        </w:tabs>
        <w:jc w:val="both"/>
        <w:rPr/>
      </w:pPr>
      <w:r w:rsidDel="00000000" w:rsidR="00000000" w:rsidRPr="00000000">
        <w:rPr>
          <w:b w:val="1"/>
          <w:rtl w:val="0"/>
        </w:rPr>
        <w:t xml:space="preserve">5.3</w:t>
      </w:r>
      <w:r w:rsidDel="00000000" w:rsidR="00000000" w:rsidRPr="00000000">
        <w:rPr>
          <w:rtl w:val="0"/>
        </w:rPr>
        <w:tab/>
        <w:t xml:space="preserve">Smluvní strany se dále zavazují, že v případě, kdy dojde k porušení jeho závazku mlčenlivosti, bude o této skutečnosti informovat druhou stranu, a to bez zbytečného prodlení po porušení.</w:t>
      </w:r>
    </w:p>
    <w:p w:rsidR="00000000" w:rsidDel="00000000" w:rsidP="00000000" w:rsidRDefault="00000000" w:rsidRPr="00000000" w14:paraId="00000026">
      <w:pPr>
        <w:pStyle w:val="Heading2"/>
        <w:tabs>
          <w:tab w:val="left" w:leader="none" w:pos="425"/>
        </w:tabs>
        <w:rPr/>
      </w:pPr>
      <w:r w:rsidDel="00000000" w:rsidR="00000000" w:rsidRPr="00000000">
        <w:rPr>
          <w:rtl w:val="0"/>
        </w:rPr>
        <w:t xml:space="preserve">6. SANKCE A ZÁVĚREČNÁ USTANOVENÍ</w:t>
      </w:r>
    </w:p>
    <w:p w:rsidR="00000000" w:rsidDel="00000000" w:rsidP="00000000" w:rsidRDefault="00000000" w:rsidRPr="00000000" w14:paraId="00000027">
      <w:pPr>
        <w:tabs>
          <w:tab w:val="left" w:leader="none" w:pos="425"/>
        </w:tabs>
        <w:jc w:val="both"/>
        <w:rPr/>
      </w:pPr>
      <w:r w:rsidDel="00000000" w:rsidR="00000000" w:rsidRPr="00000000">
        <w:rPr>
          <w:b w:val="1"/>
          <w:rtl w:val="0"/>
        </w:rPr>
        <w:t xml:space="preserve">6.1</w:t>
      </w:r>
      <w:r w:rsidDel="00000000" w:rsidR="00000000" w:rsidRPr="00000000">
        <w:rPr>
          <w:rtl w:val="0"/>
        </w:rPr>
        <w:tab/>
        <w:t xml:space="preserve">Bylo výslovně ujednáno, že v případě porušení mlčenlivosti, tedy pokud jakákoliv Neveřejná informace bude některou ze smluvních stran zveřejněna, šířena, poskytnuta či jakkoliv umožněna získat jakoukoliv třetí osobou, je poškozená smluvní strana oprávněna požadovat úhradu škody ve výši 200 000 Kč za porušení této Dohody.</w:t>
      </w:r>
    </w:p>
    <w:p w:rsidR="00000000" w:rsidDel="00000000" w:rsidP="00000000" w:rsidRDefault="00000000" w:rsidRPr="00000000" w14:paraId="00000028">
      <w:pPr>
        <w:tabs>
          <w:tab w:val="left" w:leader="none" w:pos="425"/>
        </w:tabs>
        <w:jc w:val="both"/>
        <w:rPr/>
      </w:pPr>
      <w:r w:rsidDel="00000000" w:rsidR="00000000" w:rsidRPr="00000000">
        <w:rPr>
          <w:b w:val="1"/>
          <w:rtl w:val="0"/>
        </w:rPr>
        <w:t xml:space="preserve">6.2</w:t>
      </w:r>
      <w:r w:rsidDel="00000000" w:rsidR="00000000" w:rsidRPr="00000000">
        <w:rPr>
          <w:rtl w:val="0"/>
        </w:rPr>
        <w:tab/>
        <w:t xml:space="preserve">Veškeré dodatky a změny této smlouvy musí být učiněny v písemné formě a musí být schváleny a podepsány oběma Smluvními stranami, jinak jsou neplatné. </w:t>
      </w:r>
    </w:p>
    <w:p w:rsidR="00000000" w:rsidDel="00000000" w:rsidP="00000000" w:rsidRDefault="00000000" w:rsidRPr="00000000" w14:paraId="00000029">
      <w:pPr>
        <w:tabs>
          <w:tab w:val="left" w:leader="none" w:pos="425"/>
        </w:tabs>
        <w:jc w:val="both"/>
        <w:rPr/>
      </w:pPr>
      <w:r w:rsidDel="00000000" w:rsidR="00000000" w:rsidRPr="00000000">
        <w:rPr>
          <w:b w:val="1"/>
          <w:rtl w:val="0"/>
        </w:rPr>
        <w:t xml:space="preserve">6.3</w:t>
      </w:r>
      <w:r w:rsidDel="00000000" w:rsidR="00000000" w:rsidRPr="00000000">
        <w:rPr>
          <w:rtl w:val="0"/>
        </w:rPr>
        <w:tab/>
        <w:t xml:space="preserve">Tato smlouva je vyhotovena ve dvou stejnopisech, z nichž každá Smluvní strana obdrží jeden stejnopis. </w:t>
      </w:r>
    </w:p>
    <w:p w:rsidR="00000000" w:rsidDel="00000000" w:rsidP="00000000" w:rsidRDefault="00000000" w:rsidRPr="00000000" w14:paraId="0000002A">
      <w:pPr>
        <w:pStyle w:val="Heading2"/>
        <w:tabs>
          <w:tab w:val="left" w:leader="none" w:pos="425"/>
        </w:tabs>
        <w:rPr/>
      </w:pPr>
      <w:r w:rsidDel="00000000" w:rsidR="00000000" w:rsidRPr="00000000">
        <w:rPr>
          <w:rtl w:val="0"/>
        </w:rPr>
        <w:t xml:space="preserve">7. PODPISOVÁ TABULKA</w:t>
      </w:r>
    </w:p>
    <w:tbl>
      <w:tblPr>
        <w:tblStyle w:val="Table2"/>
        <w:tblW w:w="93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920"/>
        <w:tblGridChange w:id="0">
          <w:tblGrid>
            <w:gridCol w:w="4470"/>
            <w:gridCol w:w="4920"/>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2B">
            <w:pPr>
              <w:widowControl w:val="0"/>
              <w:tabs>
                <w:tab w:val="left" w:leader="none" w:pos="425"/>
              </w:tabs>
              <w:spacing w:line="240" w:lineRule="auto"/>
              <w:rPr>
                <w:b w:val="1"/>
                <w:color w:val="ffffff"/>
              </w:rPr>
            </w:pPr>
            <w:bookmarkStart w:colFirst="0" w:colLast="0" w:name="_heading=h.26in1rg" w:id="2"/>
            <w:bookmarkEnd w:id="2"/>
            <w:r w:rsidDel="00000000" w:rsidR="00000000" w:rsidRPr="00000000">
              <w:rPr>
                <w:b w:val="1"/>
                <w:color w:val="ffffff"/>
                <w:rtl w:val="0"/>
              </w:rPr>
              <w:t xml:space="preserve">Poskytovatel</w:t>
            </w:r>
          </w:p>
        </w:tc>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2C">
            <w:pPr>
              <w:widowControl w:val="0"/>
              <w:tabs>
                <w:tab w:val="left" w:leader="none" w:pos="425"/>
              </w:tabs>
              <w:spacing w:line="240" w:lineRule="auto"/>
              <w:rPr>
                <w:b w:val="1"/>
                <w:color w:val="ffffff"/>
              </w:rPr>
            </w:pPr>
            <w:r w:rsidDel="00000000" w:rsidR="00000000" w:rsidRPr="00000000">
              <w:rPr>
                <w:b w:val="1"/>
                <w:color w:val="ffffff"/>
                <w:rtl w:val="0"/>
              </w:rPr>
              <w:t xml:space="preserve">Zákazník</w:t>
            </w:r>
          </w:p>
        </w:tc>
      </w:tr>
      <w:tr>
        <w:trPr>
          <w:cantSplit w:val="0"/>
          <w:trHeight w:val="504"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2D">
            <w:pPr>
              <w:widowControl w:val="0"/>
              <w:tabs>
                <w:tab w:val="left" w:leader="none" w:pos="425"/>
              </w:tabs>
              <w:spacing w:line="240" w:lineRule="auto"/>
              <w:rPr/>
            </w:pPr>
            <w:r w:rsidDel="00000000" w:rsidR="00000000" w:rsidRPr="00000000">
              <w:rPr>
                <w:rtl w:val="0"/>
              </w:rPr>
              <w:t xml:space="preserve">Podpis</w:t>
            </w:r>
          </w:p>
        </w:tc>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tabs>
                <w:tab w:val="left" w:leader="none" w:pos="425"/>
              </w:tabs>
              <w:spacing w:line="240" w:lineRule="auto"/>
              <w:rPr/>
            </w:pPr>
            <w:r w:rsidDel="00000000" w:rsidR="00000000" w:rsidRPr="00000000">
              <w:rPr>
                <w:rtl w:val="0"/>
              </w:rPr>
              <w:t xml:space="preserve">Podpis</w:t>
            </w:r>
          </w:p>
        </w:tc>
      </w:tr>
      <w:tr>
        <w:trPr>
          <w:cantSplit w:val="0"/>
          <w:trHeight w:val="528"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tabs>
                <w:tab w:val="left" w:leader="none" w:pos="425"/>
              </w:tabs>
              <w:spacing w:line="240" w:lineRule="auto"/>
              <w:rPr/>
            </w:pPr>
            <w:r w:rsidDel="00000000" w:rsidR="00000000" w:rsidRPr="00000000">
              <w:rPr>
                <w:rtl w:val="0"/>
              </w:rPr>
              <w:t xml:space="preserve">Dne ....................................... v ......................................................................................................</w:t>
            </w:r>
          </w:p>
        </w:tc>
      </w:tr>
    </w:tbl>
    <w:p w:rsidR="00000000" w:rsidDel="00000000" w:rsidP="00000000" w:rsidRDefault="00000000" w:rsidRPr="00000000" w14:paraId="00000033">
      <w:pPr>
        <w:tabs>
          <w:tab w:val="left" w:leader="none" w:pos="425"/>
        </w:tabs>
        <w:rPr/>
      </w:pPr>
      <w:r w:rsidDel="00000000" w:rsidR="00000000" w:rsidRPr="00000000">
        <w:rPr>
          <w:rtl w:val="0"/>
        </w:rPr>
      </w:r>
    </w:p>
    <w:sectPr>
      <w:headerReference r:id="rId7" w:type="default"/>
      <w:footerReference r:id="rId8" w:type="default"/>
      <w:pgSz w:h="16834" w:w="11909" w:orient="portrait"/>
      <w:pgMar w:bottom="1440" w:top="1440" w:left="1133"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Code">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120" w:line="240" w:lineRule="auto"/>
      <w:ind w:left="0" w:right="0" w:firstLine="0"/>
      <w:jc w:val="righ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20" w:before="12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left" w:leader="none" w:pos="425"/>
      </w:tabs>
      <w:ind w:left="-850" w:firstLine="0"/>
      <w:rPr/>
    </w:pPr>
    <w:r w:rsidDel="00000000" w:rsidR="00000000" w:rsidRPr="00000000">
      <w:rPr/>
      <w:drawing>
        <wp:inline distB="114300" distT="114300" distL="114300" distR="114300">
          <wp:extent cx="2157413" cy="887543"/>
          <wp:effectExtent b="0" l="0" r="0" t="0"/>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7413" cy="8875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Fira Sans" w:cs="Fira Sans" w:eastAsia="Fira Sans" w:hAnsi="Fira Sans"/>
        <w:b w:val="1"/>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rFonts w:ascii="Fira Sans" w:cs="Fira Sans" w:eastAsia="Fira Sans" w:hAnsi="Fira Sans"/>
        <w:b w:val="1"/>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ra Sans" w:cs="Fira Sans" w:eastAsia="Fira Sans" w:hAnsi="Fira Sans"/>
        <w:sz w:val="22"/>
        <w:szCs w:val="22"/>
        <w:lang w:val="cs"/>
      </w:rPr>
    </w:rPrDefault>
    <w:pPrDefault>
      <w:pPr>
        <w:tabs>
          <w:tab w:val="left" w:leader="none" w:pos="425"/>
        </w:tabs>
        <w:spacing w:after="120" w:before="12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293fa"/>
      <w:sz w:val="40"/>
      <w:szCs w:val="40"/>
    </w:rPr>
  </w:style>
  <w:style w:type="paragraph" w:styleId="Heading2">
    <w:name w:val="heading 2"/>
    <w:basedOn w:val="Normal"/>
    <w:next w:val="Normal"/>
    <w:pPr>
      <w:keepNext w:val="1"/>
      <w:keepLines w:val="1"/>
      <w:spacing w:before="48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rsid w:val="0040126D"/>
    <w:pPr>
      <w:tabs>
        <w:tab w:val="left" w:pos="425"/>
      </w:tabs>
      <w:spacing w:after="120" w:before="120" w:line="312" w:lineRule="auto"/>
    </w:pPr>
    <w:rPr>
      <w:sz w:val="22"/>
    </w:rPr>
  </w:style>
  <w:style w:type="paragraph" w:styleId="Nadpis1">
    <w:name w:val="heading 1"/>
    <w:basedOn w:val="Normln"/>
    <w:next w:val="Normln"/>
    <w:uiPriority w:val="9"/>
    <w:qFormat w:val="1"/>
    <w:pPr>
      <w:keepNext w:val="1"/>
      <w:keepLines w:val="1"/>
      <w:spacing w:before="400"/>
      <w:outlineLvl w:val="0"/>
    </w:pPr>
    <w:rPr>
      <w:b w:val="1"/>
      <w:color w:val="0293fa"/>
      <w:sz w:val="40"/>
      <w:szCs w:val="40"/>
    </w:rPr>
  </w:style>
  <w:style w:type="paragraph" w:styleId="Nadpis2">
    <w:name w:val="heading 2"/>
    <w:basedOn w:val="Normln"/>
    <w:next w:val="Normln"/>
    <w:uiPriority w:val="9"/>
    <w:unhideWhenUsed w:val="1"/>
    <w:qFormat w:val="1"/>
    <w:rsid w:val="009804E1"/>
    <w:pPr>
      <w:keepNext w:val="1"/>
      <w:keepLines w:val="1"/>
      <w:spacing w:before="480"/>
      <w:outlineLvl w:val="1"/>
    </w:pPr>
    <w:rPr>
      <w:b w:val="1"/>
      <w:sz w:val="32"/>
      <w:szCs w:val="32"/>
    </w:rPr>
  </w:style>
  <w:style w:type="paragraph" w:styleId="Nadpis3">
    <w:name w:val="heading 3"/>
    <w:basedOn w:val="Normln"/>
    <w:next w:val="Normln"/>
    <w:uiPriority w:val="9"/>
    <w:unhideWhenUsed w:val="1"/>
    <w:qFormat w:val="1"/>
    <w:pPr>
      <w:keepNext w:val="1"/>
      <w:keepLines w:val="1"/>
      <w:spacing w:after="80" w:before="320"/>
      <w:outlineLvl w:val="2"/>
    </w:pPr>
    <w:rPr>
      <w:b w:val="1"/>
      <w:color w:val="434343"/>
      <w:sz w:val="28"/>
      <w:szCs w:val="28"/>
    </w:rPr>
  </w:style>
  <w:style w:type="paragraph" w:styleId="Nadpis4">
    <w:name w:val="heading 4"/>
    <w:basedOn w:val="Normln"/>
    <w:next w:val="Normln"/>
    <w:uiPriority w:val="9"/>
    <w:unhideWhenUsed w:val="1"/>
    <w:qFormat w:val="1"/>
    <w:pPr>
      <w:keepNext w:val="1"/>
      <w:keepLines w:val="1"/>
      <w:spacing w:after="80" w:before="280"/>
      <w:outlineLvl w:val="3"/>
    </w:pPr>
    <w:rPr>
      <w:b w:val="1"/>
      <w:color w:val="666666"/>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szCs w:val="22"/>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szCs w:val="2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320"/>
    </w:pPr>
    <w:rPr>
      <w:rFonts w:ascii="Arial" w:cs="Arial" w:eastAsia="Arial" w:hAnsi="Arial"/>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paragraph" w:styleId="Kolonky" w:customStyle="1">
    <w:name w:val="Kolonky"/>
    <w:basedOn w:val="Normln"/>
    <w:link w:val="KolonkyChar"/>
    <w:qFormat w:val="1"/>
    <w:rsid w:val="009B1D87"/>
    <w:pPr>
      <w:tabs>
        <w:tab w:val="left" w:leader="hyphen" w:pos="4536"/>
      </w:tabs>
    </w:pPr>
  </w:style>
  <w:style w:type="paragraph" w:styleId="Odstavecseseznamem">
    <w:name w:val="List Paragraph"/>
    <w:basedOn w:val="Normln"/>
    <w:uiPriority w:val="34"/>
    <w:qFormat w:val="1"/>
    <w:rsid w:val="009B1D87"/>
    <w:pPr>
      <w:ind w:left="720"/>
      <w:contextualSpacing w:val="1"/>
    </w:pPr>
  </w:style>
  <w:style w:type="character" w:styleId="KolonkyChar" w:customStyle="1">
    <w:name w:val="Kolonky Char"/>
    <w:basedOn w:val="Standardnpsmoodstavce"/>
    <w:link w:val="Kolonky"/>
    <w:rsid w:val="009B1D87"/>
  </w:style>
  <w:style w:type="paragraph" w:styleId="Zhlav">
    <w:name w:val="header"/>
    <w:basedOn w:val="Normln"/>
    <w:link w:val="ZhlavChar"/>
    <w:uiPriority w:val="99"/>
    <w:unhideWhenUsed w:val="1"/>
    <w:rsid w:val="00F47F00"/>
    <w:pPr>
      <w:tabs>
        <w:tab w:val="center" w:pos="4513"/>
        <w:tab w:val="right" w:pos="9026"/>
      </w:tabs>
      <w:spacing w:line="240" w:lineRule="auto"/>
    </w:pPr>
  </w:style>
  <w:style w:type="character" w:styleId="ZhlavChar" w:customStyle="1">
    <w:name w:val="Záhlaví Char"/>
    <w:basedOn w:val="Standardnpsmoodstavce"/>
    <w:link w:val="Zhlav"/>
    <w:uiPriority w:val="99"/>
    <w:rsid w:val="00F47F00"/>
  </w:style>
  <w:style w:type="paragraph" w:styleId="Zpat">
    <w:name w:val="footer"/>
    <w:basedOn w:val="Normln"/>
    <w:link w:val="ZpatChar"/>
    <w:uiPriority w:val="99"/>
    <w:unhideWhenUsed w:val="1"/>
    <w:rsid w:val="00F47F00"/>
    <w:pPr>
      <w:tabs>
        <w:tab w:val="center" w:pos="4513"/>
        <w:tab w:val="right" w:pos="9026"/>
      </w:tabs>
      <w:spacing w:line="240" w:lineRule="auto"/>
    </w:pPr>
  </w:style>
  <w:style w:type="character" w:styleId="ZpatChar" w:customStyle="1">
    <w:name w:val="Zápatí Char"/>
    <w:basedOn w:val="Standardnpsmoodstavce"/>
    <w:link w:val="Zpat"/>
    <w:uiPriority w:val="99"/>
    <w:rsid w:val="00F47F00"/>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FiraCode-regular.ttf"/><Relationship Id="rId6" Type="http://schemas.openxmlformats.org/officeDocument/2006/relationships/font" Target="fonts/FiraCode-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XG/TTqcDOLpJC1JgkBWQdgXMXg==">AMUW2mVJdKS/WKhvZmJ4eEHwceF5pwIoNF3JR3noT6JCdHXU2MK42trCAC+Fzo1cqKs/kek12U3f1fex2Kx2S5cgCr2wsevSemBwgod04AALjeLFvORZ2qBMXYXrO3Ec3Wy29xCjwHS+UoNpifiF2LkWDTB0yIIe+w==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2023-03-02T08:31:00Z</dcterms:created>
</cp:coreProperties>
</file>